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希腊塞萨洛尼基亚里士多德大学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Erasmus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Hans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Hans"/>
        </w:rPr>
        <w:t>Plus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交换生项目介绍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</w:pPr>
    </w:p>
    <w:p>
      <w:pPr>
        <w:suppressAutoHyphens/>
        <w:spacing w:line="560" w:lineRule="exact"/>
        <w:ind w:firstLine="640" w:firstLineChars="200"/>
        <w:jc w:val="both"/>
        <w:rPr>
          <w:rFonts w:hint="default" w:ascii="黑体" w:hAnsi="黑体" w:eastAsia="黑体" w:cs="Times New Roman"/>
          <w:kern w:val="2"/>
          <w:sz w:val="32"/>
          <w:szCs w:val="20"/>
          <w:lang w:val="en-US" w:eastAsia="zh-Hans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一、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学校简介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塞萨洛尼基亚里士多德大学（Aristotle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University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 xml:space="preserve"> of Thessaloniki, AUTh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），也叫做亚里士多德大学，是希腊规模最大的大学，综合实力排名在全希腊排名第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2。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该校是根据哲学家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fldChar w:fldCharType="begin"/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instrText xml:space="preserve"> HYPERLINK "https://baike.baidu.com/item/%E4%BA%9A%E9%87%8C%E5%A3%AB%E5%A4%9A%E5%BE%B7/26769?fromModule=lemma_inlink" \t "/Users/zhengfang/Documents\\x/_blank" </w:instrTex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fldChar w:fldCharType="separate"/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亚里士多德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fldChar w:fldCharType="end"/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的名字命名的。萨洛尼卡亚里士多德大学建于1925年，大学占地23公顷，靠近市中心塞萨洛尼基亚，共有44个系。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2024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年QS世界大学排名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530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名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。2015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年学校与该校建立战略合作伙伴关系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旨在师生交流交换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联合教学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科研领域开展合作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自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2018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年以来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Hans"/>
        </w:rPr>
        <w:t>学校与该校开始联合申请并执行伊拉斯谟加计划师生流动项目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  <w:t>。</w:t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 xml:space="preserve">二、希腊塞萨洛尼基亚里士多德大学 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Erasmus</w:t>
      </w:r>
      <w:r>
        <w:rPr>
          <w:rFonts w:hint="default" w:ascii="黑体" w:hAnsi="黑体" w:eastAsia="黑体" w:cs="Times New Roman"/>
          <w:kern w:val="2"/>
          <w:sz w:val="32"/>
          <w:szCs w:val="20"/>
          <w:lang w:val="en-US" w:eastAsia="zh-Hans" w:bidi="ar-SA"/>
        </w:rPr>
        <w:t xml:space="preserve"> 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Plus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交换生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Hans" w:bidi="ar-SA"/>
        </w:rPr>
        <w:t>项目</w:t>
      </w:r>
      <w:r>
        <w:rPr>
          <w:rFonts w:hint="eastAsia" w:ascii="黑体" w:hAnsi="黑体" w:eastAsia="黑体" w:cs="Times New Roman"/>
          <w:kern w:val="2"/>
          <w:sz w:val="32"/>
          <w:szCs w:val="20"/>
          <w:lang w:val="en-US" w:eastAsia="zh-CN" w:bidi="ar-SA"/>
        </w:rPr>
        <w:t>介绍</w:t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1、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交换生就读课程介绍：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"https://eurep.auth.gr/en/students/info/courses"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https://eurep.auth.gr/en/students/info/courses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 xml:space="preserve"> 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"http://qa.auth.gr/en/studyguide"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http://qa.auth.gr/en/studyguide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2、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交换生名额：1名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3、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语言要求：雅思6分，托福72分（机考）</w:t>
      </w:r>
    </w:p>
    <w:p>
      <w:pPr>
        <w:suppressAutoHyphens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4、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费用：</w:t>
      </w:r>
      <w:r>
        <w:rPr>
          <w:rFonts w:hint="eastAsia" w:ascii="仿宋" w:hAnsi="仿宋" w:eastAsia="仿宋"/>
          <w:kern w:val="2"/>
          <w:sz w:val="32"/>
          <w:szCs w:val="20"/>
          <w:lang w:eastAsia="zh-CN"/>
        </w:rPr>
        <w:t>个人签证、保险费、国际旅费、住宿费等。学生抵达国外后，访学大学按欧盟Erasmus+项目规定给予录取的学生助学资助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。</w:t>
      </w:r>
    </w:p>
    <w:p>
      <w:pPr>
        <w:suppressAutoHyphens/>
        <w:spacing w:line="560" w:lineRule="exact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20"/>
          <w:lang w:val="en-US" w:eastAsia="zh-Hans"/>
        </w:rPr>
      </w:pP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>5、</w:t>
      </w:r>
      <w:r>
        <w:rPr>
          <w:rFonts w:hint="eastAsia" w:ascii="仿宋" w:hAnsi="仿宋" w:eastAsia="仿宋" w:cs="Times New Roman"/>
          <w:kern w:val="2"/>
          <w:sz w:val="32"/>
          <w:szCs w:val="20"/>
          <w:lang w:val="en-US" w:eastAsia="zh-CN"/>
        </w:rPr>
        <w:t>学校网址：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instrText xml:space="preserve"> HYPERLINK "http://www.auth.gr/" </w:instrTex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t>www.auth.gr</w:t>
      </w:r>
      <w:r>
        <w:rPr>
          <w:rFonts w:hint="default" w:ascii="仿宋" w:hAnsi="仿宋" w:eastAsia="仿宋" w:cs="Times New Roman"/>
          <w:kern w:val="2"/>
          <w:sz w:val="32"/>
          <w:szCs w:val="20"/>
          <w:lang w:val="en-US" w:eastAsia="zh-CN"/>
        </w:rPr>
        <w:fldChar w:fldCharType="end"/>
      </w:r>
      <w:r>
        <w:rPr>
          <w:rFonts w:hint="eastAsia" w:ascii="仿宋" w:hAnsi="仿宋" w:cs="Times New Roman"/>
          <w:kern w:val="2"/>
          <w:sz w:val="32"/>
          <w:szCs w:val="20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W5">
    <w:altName w:val="Malgun Gothic Semilight"/>
    <w:panose1 w:val="020B0300000000000000"/>
    <w:charset w:val="80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0OTI3MWMxYjljNGQ4ZDY0Mjg5MzMyMDlkY2QifQ=="/>
  </w:docVars>
  <w:rsids>
    <w:rsidRoot w:val="3FF63668"/>
    <w:rsid w:val="25A93A2E"/>
    <w:rsid w:val="344C3A47"/>
    <w:rsid w:val="3FF63668"/>
    <w:rsid w:val="5FC4788A"/>
    <w:rsid w:val="690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郭雯正文"/>
    <w:basedOn w:val="1"/>
    <w:autoRedefine/>
    <w:qFormat/>
    <w:uiPriority w:val="0"/>
    <w:pPr>
      <w:spacing w:before="50" w:beforeLines="50" w:after="50" w:afterLines="50" w:line="300" w:lineRule="exact"/>
      <w:jc w:val="both"/>
    </w:pPr>
    <w:rPr>
      <w:rFonts w:ascii="Wingdings" w:hAnsi="Wingdings" w:eastAsia="Hiragino Sans W5" w:cs="Cambria"/>
      <w:color w:val="000000"/>
      <w:sz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2023-12-12T09:29:00Z</dcterms:created>
  <dc:creator>Kaylee</dc:creator>
  <cp:lastModifiedBy>Danielle</cp:lastModifiedBy>
  <dcterms:modified xsi:type="dcterms:W3CDTF">2024-04-01T02:10:55Z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97642AD8AD42432873B77765CF46A1B2</vt:lpwstr>
  </property>
</Properties>
</file>